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3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3942"/>
        <w:gridCol w:w="5300"/>
      </w:tblGrid>
      <w:tr>
        <w:trPr>
          <w:trHeight w:val="1416" w:hRule="atLeast"/>
        </w:trPr>
        <w:tc>
          <w:tcPr>
            <w:tcW w:w="9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  <w:insideH w:val="single" w:sz="4" w:space="0" w:color="365F91"/>
              <w:insideV w:val="single" w:sz="4" w:space="0" w:color="00000A"/>
            </w:tcBorders>
            <w:shd w:color="auto" w:fill="B8CCE4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U POSTUPKU DONOŠENJA </w:t>
            </w:r>
            <w:bookmarkStart w:id="1" w:name="__DdeLink__117_14102604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PROGRAMA </w:t>
            </w:r>
            <w:bookmarkEnd w:id="1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UTROŠKA SREDSTAVA OD NAKNADE ZA ZADRŽAVANJE NEZAKONITO IZGRAĐENIH ZGRADA U PROSORU OPĆINE KRALJEVEC NA SUTLI ZA 2019. GODINU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bookmarkStart w:id="2" w:name="__DdeLink__117_1410260423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UTROŠKA SREDSTAVA OD NAKNADE ZA ZADRŽAVANJE NEZAKONITO IZGRAĐENIH ZGRADA U PROSORU OPĆINE KRALJEVEC NA SUTLI ZA 2019. GODINU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Jedinstveni upravni odjel Općine Kraljevec na Sutli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hr-HR"/>
              </w:rPr>
              <w:t xml:space="preserve">Osnova za donošenje ovog Programa je članak 31. stavak 1. Zakona o postupanju s nezakonito izgrađenim zgradama. Naknada se utvrđuje s Rješenjem o naknadi po službenoj dužnosti, a donosi je upravno tijelo jedinice lokalne samouprave nadležno za poslove komunalnog gospodarstva na čijem se području nalazi zgrada za koju se donosi Rješenje o izvedenom stanju. Sredstva naknade za zadržavanje nezakonito izgrađenih zgrada u iznosu od 30% prihod su Proračuna jedinice lokalne samouprave. </w:t>
            </w:r>
          </w:p>
          <w:p>
            <w:pPr>
              <w:pStyle w:val="Normal"/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hr-HR"/>
              </w:rPr>
              <w:t>Naknada se namjenski koristi za izradu prostornih planova kojima se propisuju uvjeti i kriteriji za urbanu obnovu i sanaciju područja zahvaćenih nelegalnom gradnjom te za poboljšavanje infrastrukture nedovoljno opremljenih naselja.</w:t>
            </w:r>
          </w:p>
        </w:tc>
      </w:tr>
      <w:tr>
        <w:trPr>
          <w:trHeight w:val="525" w:hRule="atLeast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/www.kraljevecnasutli.hr/otvorena-savjetovanja/</w:t>
            </w:r>
          </w:p>
        </w:tc>
      </w:tr>
      <w:tr>
        <w:trPr>
          <w:trHeight w:val="1007" w:hRule="atLeast"/>
        </w:trPr>
        <w:tc>
          <w:tcPr>
            <w:tcW w:w="3942" w:type="dxa"/>
            <w:vMerge w:val="continue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  <w:insideH w:val="single" w:sz="4" w:space="0" w:color="00000A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30 dana – od 14.11.2018. do 15.12.2018.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Nije bilo primjedbi 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Nije bilo primjedbi.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jc w:val="left"/>
        <w:tblInd w:w="-89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5" w:type="dxa"/>
          <w:bottom w:w="0" w:type="dxa"/>
          <w:right w:w="108" w:type="dxa"/>
        </w:tblCellMar>
        <w:tblLook w:val="04a0"/>
      </w:tblPr>
      <w:tblGrid>
        <w:gridCol w:w="769"/>
        <w:gridCol w:w="1886"/>
        <w:gridCol w:w="1985"/>
        <w:gridCol w:w="2046"/>
        <w:gridCol w:w="2636"/>
      </w:tblGrid>
      <w:tr>
        <w:trPr/>
        <w:tc>
          <w:tcPr>
            <w:tcW w:w="769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>
        <w:trPr>
          <w:trHeight w:val="567" w:hRule="atLeast"/>
        </w:trPr>
        <w:tc>
          <w:tcPr>
            <w:tcW w:w="76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6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986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b0986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LibreOffice/5.0.2.2$Windows_X86_64 LibreOffice_project/37b43f919e4de5eeaca9b9755ed688758a8251fe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Korisnik</dc:creator>
  <dc:language>hr-HR</dc:language>
  <dcterms:modified xsi:type="dcterms:W3CDTF">2019-01-07T08:52:58Z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