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GoBack"/>
      <w:bookmarkStart w:id="1" w:name="_Toc468978616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12_543572882"/>
            <w:bookmarkStart w:id="3" w:name="__DdeLink__120_1378943078"/>
            <w:bookmarkEnd w:id="3"/>
            <w:r>
              <w:rPr>
                <w:rFonts w:cs="Times New Roman" w:ascii="Arial Narrow" w:hAnsi="Arial Narrow"/>
                <w:sz w:val="20"/>
                <w:szCs w:val="20"/>
              </w:rPr>
              <w:t xml:space="preserve">PLAN </w:t>
            </w:r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>NABAVE ROBA, RADOVA I USLUGA OPĆINE KRALJEVEC NA SUTLI 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PLAN </w:t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>NABAVE ROBA, RADOVA I USLUGA OPĆINE KRALJEVEC NA SUTLI ZA 2019. GODINU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2018-11-26T14:09:06Z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