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AE" w:rsidRDefault="00E13676">
      <w:pPr>
        <w:pStyle w:val="Opisslike"/>
        <w:jc w:val="center"/>
      </w:pPr>
      <w:bookmarkStart w:id="0" w:name="_Toc468978617"/>
      <w:bookmarkEnd w:id="0"/>
      <w:r>
        <w:rPr>
          <w:rFonts w:ascii="Arial Narrow" w:hAnsi="Arial Narrow"/>
          <w:sz w:val="24"/>
          <w:szCs w:val="24"/>
        </w:rPr>
        <w:t>Obrazac Izvješća o savjetovanju s javnošću</w:t>
      </w:r>
    </w:p>
    <w:tbl>
      <w:tblPr>
        <w:tblW w:w="9243" w:type="dxa"/>
        <w:tblInd w:w="-5" w:type="dxa"/>
        <w:tblBorders>
          <w:top w:val="single" w:sz="4" w:space="0" w:color="00000A"/>
          <w:left w:val="single" w:sz="4" w:space="0" w:color="00000A"/>
          <w:bottom w:val="single" w:sz="4" w:space="0" w:color="365F91"/>
          <w:right w:val="single" w:sz="4" w:space="0" w:color="00000A"/>
          <w:insideH w:val="single" w:sz="4" w:space="0" w:color="365F91"/>
          <w:insideV w:val="single" w:sz="4" w:space="0" w:color="00000A"/>
        </w:tblBorders>
        <w:tblCellMar>
          <w:left w:w="103" w:type="dxa"/>
        </w:tblCellMar>
        <w:tblLook w:val="01E0"/>
      </w:tblPr>
      <w:tblGrid>
        <w:gridCol w:w="3942"/>
        <w:gridCol w:w="5301"/>
      </w:tblGrid>
      <w:tr w:rsidR="00B905AE">
        <w:trPr>
          <w:trHeight w:val="1416"/>
        </w:trPr>
        <w:tc>
          <w:tcPr>
            <w:tcW w:w="9242" w:type="dxa"/>
            <w:gridSpan w:val="2"/>
            <w:tcBorders>
              <w:top w:val="single" w:sz="4" w:space="0" w:color="00000A"/>
              <w:left w:val="single" w:sz="4" w:space="0" w:color="00000A"/>
              <w:bottom w:val="single" w:sz="4" w:space="0" w:color="365F91"/>
              <w:right w:val="single" w:sz="4" w:space="0" w:color="00000A"/>
            </w:tcBorders>
            <w:shd w:val="clear" w:color="auto" w:fill="B8CCE4"/>
            <w:tcMar>
              <w:left w:w="103" w:type="dxa"/>
            </w:tcMar>
            <w:vAlign w:val="center"/>
          </w:tcPr>
          <w:p w:rsidR="00B905AE" w:rsidRDefault="00E13676">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IZVJEŠĆE O SAVJETOVANJU S JAVNOŠĆU</w:t>
            </w:r>
          </w:p>
          <w:p w:rsidR="00B905AE" w:rsidRPr="00E13676" w:rsidRDefault="00E13676">
            <w:pPr>
              <w:spacing w:after="0" w:line="240" w:lineRule="auto"/>
              <w:jc w:val="center"/>
              <w:rPr>
                <w:b/>
              </w:rPr>
            </w:pPr>
            <w:r w:rsidRPr="00E13676">
              <w:rPr>
                <w:rFonts w:ascii="Arial Narrow" w:hAnsi="Arial Narrow" w:cs="Times New Roman"/>
                <w:b/>
                <w:sz w:val="20"/>
                <w:szCs w:val="20"/>
              </w:rPr>
              <w:t xml:space="preserve">O NACRTU </w:t>
            </w:r>
            <w:bookmarkStart w:id="1" w:name="__DdeLink__120_1378943078"/>
            <w:bookmarkEnd w:id="1"/>
            <w:r w:rsidRPr="00E13676">
              <w:rPr>
                <w:rFonts w:ascii="Arial Narrow" w:hAnsi="Arial Narrow" w:cs="Times New Roman"/>
                <w:b/>
                <w:sz w:val="20"/>
                <w:szCs w:val="20"/>
              </w:rPr>
              <w:t>PROGRAM UTROŠKA SREDSTAVA GROBNE NAKNADE OPĆINE KRALJEVEC NA SUTLI ZA 2019. GODINU</w:t>
            </w:r>
          </w:p>
          <w:p w:rsidR="00B905AE" w:rsidRDefault="00B905AE">
            <w:pPr>
              <w:spacing w:after="0" w:line="240" w:lineRule="auto"/>
              <w:jc w:val="center"/>
              <w:rPr>
                <w:rFonts w:ascii="Arial Narrow" w:hAnsi="Arial Narrow" w:cs="Times New Roman"/>
                <w:b/>
                <w:bCs/>
                <w:sz w:val="20"/>
                <w:szCs w:val="20"/>
              </w:rPr>
            </w:pPr>
          </w:p>
          <w:p w:rsidR="00B905AE" w:rsidRDefault="00E13676">
            <w:pPr>
              <w:spacing w:after="0" w:line="240" w:lineRule="auto"/>
              <w:jc w:val="center"/>
            </w:pPr>
            <w:r>
              <w:rPr>
                <w:rFonts w:ascii="Arial Narrow" w:hAnsi="Arial Narrow" w:cs="Times New Roman"/>
                <w:b/>
                <w:bCs/>
                <w:sz w:val="20"/>
                <w:szCs w:val="20"/>
              </w:rPr>
              <w:t>Nositelj izrade izvješća: koordinator za savjetovanje s javnošću</w:t>
            </w:r>
          </w:p>
          <w:p w:rsidR="00B905AE" w:rsidRDefault="00E13676">
            <w:pPr>
              <w:spacing w:after="0" w:line="240" w:lineRule="auto"/>
              <w:jc w:val="center"/>
            </w:pPr>
            <w:r>
              <w:rPr>
                <w:rFonts w:ascii="Arial Narrow" w:hAnsi="Arial Narrow" w:cs="Times New Roman"/>
                <w:b/>
                <w:bCs/>
                <w:sz w:val="20"/>
                <w:szCs w:val="20"/>
              </w:rPr>
              <w:t>Kraljevec na Sutli, 17.12.2018.</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Naziv akta za koji je provedeno savjetovanje s javnošću </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0" w:line="240" w:lineRule="auto"/>
              <w:jc w:val="center"/>
              <w:rPr>
                <w:rFonts w:ascii="Arial Narrow" w:hAnsi="Arial Narrow" w:cs="Times New Roman"/>
                <w:bCs/>
                <w:sz w:val="20"/>
                <w:szCs w:val="20"/>
              </w:rPr>
            </w:pPr>
            <w:r>
              <w:rPr>
                <w:rFonts w:ascii="Arial Narrow" w:hAnsi="Arial Narrow" w:cs="Times New Roman"/>
                <w:b/>
                <w:sz w:val="20"/>
                <w:szCs w:val="20"/>
              </w:rPr>
              <w:t>PROGRAM UTROŠKA SREDSTAVA GROBNE NAKNADE OPĆINE KRALJEVEC NA SUTLI ZA 2019. GODINU</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Naziv tijela nadležnog za izradu nacrta / provedbu savjetovanja </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jc w:val="center"/>
              <w:rPr>
                <w:rFonts w:ascii="Arial Narrow" w:hAnsi="Arial Narrow" w:cs="Times New Roman"/>
                <w:bCs/>
                <w:sz w:val="20"/>
                <w:szCs w:val="20"/>
              </w:rPr>
            </w:pPr>
            <w:r>
              <w:rPr>
                <w:rFonts w:ascii="Arial Narrow" w:hAnsi="Arial Narrow" w:cs="Times New Roman"/>
                <w:bCs/>
                <w:sz w:val="20"/>
                <w:szCs w:val="20"/>
              </w:rPr>
              <w:t>Jedinstveni upravni odjel Općine Kraljevec na Sutli</w:t>
            </w:r>
          </w:p>
        </w:tc>
      </w:tr>
      <w:tr w:rsidR="00B905AE" w:rsidRPr="00550781">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Razlozi za donošenje akta i ciljevi koji se njime žele postići uz sažetak ključnih pitanja</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tcPr>
          <w:p w:rsidR="00BA2B0B" w:rsidRDefault="00BA2B0B" w:rsidP="00BA2B0B">
            <w:pPr>
              <w:pStyle w:val="StandardWeb"/>
              <w:shd w:val="clear" w:color="auto" w:fill="FFFFFF"/>
              <w:spacing w:before="0" w:beforeAutospacing="0" w:after="180" w:afterAutospacing="0"/>
              <w:textAlignment w:val="baseline"/>
              <w:rPr>
                <w:rFonts w:ascii="Minion Pro" w:hAnsi="Minion Pro"/>
                <w:color w:val="000000"/>
                <w:sz w:val="19"/>
                <w:szCs w:val="19"/>
              </w:rPr>
            </w:pPr>
            <w:r>
              <w:rPr>
                <w:rFonts w:ascii="Minion Pro" w:hAnsi="Minion Pro"/>
                <w:color w:val="000000"/>
                <w:sz w:val="19"/>
                <w:szCs w:val="19"/>
              </w:rPr>
              <w:t>Uprava groblja daje grobno mjesto na korištenje na neodređeno vrijeme uz naknadu te o tome donosi rješenje. Protiv rješenja iz stavka 1. ovoga članka zainteresirana osoba može izjaviti žalbu nadležnom tijelu za komunalne poslove jedinice lokalne samouprave. Za korištenje grobnog mjesta korisnik plaća godišnju grobnu naknadu. Visinu naknade iz stavka 1. i 3. ovoga članka utvrđuje Uprava groblja u skladu s uvjetima i mjerilima propisanim odlukom predstavničkog tijela jedinice lokalne samouprave. Grobno mjesto za koje grobna naknada nije plaćena deset godina, smatra se napuštenim i može se ponovo dodijeliti na korištenje, ali tek nakon proteka petnaest godina od posljednjeg ukopa u grob, odnosno nakon proteka trideset godina od ukopa u grobnicu.</w:t>
            </w:r>
          </w:p>
          <w:p w:rsidR="00B905AE" w:rsidRPr="00550781" w:rsidRDefault="00B905AE">
            <w:pPr>
              <w:pStyle w:val="Tijeloteksta1"/>
              <w:spacing w:after="120" w:line="240" w:lineRule="auto"/>
              <w:jc w:val="both"/>
              <w:rPr>
                <w:rFonts w:ascii="Arial Narrow" w:hAnsi="Arial Narrow" w:cs="Times New Roman"/>
                <w:bCs/>
                <w:sz w:val="20"/>
                <w:szCs w:val="20"/>
              </w:rPr>
            </w:pPr>
          </w:p>
        </w:tc>
      </w:tr>
      <w:tr w:rsidR="00B905AE">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Objava dokumenata za savjetovanje </w:t>
            </w:r>
          </w:p>
          <w:p w:rsidR="00B905AE" w:rsidRDefault="00B905AE">
            <w:pPr>
              <w:spacing w:after="120" w:line="240" w:lineRule="auto"/>
              <w:rPr>
                <w:rFonts w:ascii="Arial Narrow" w:hAnsi="Arial Narrow" w:cs="Times New Roman"/>
                <w:b/>
                <w:bCs/>
                <w:sz w:val="20"/>
                <w:szCs w:val="20"/>
              </w:rPr>
            </w:pPr>
          </w:p>
          <w:p w:rsidR="00B905AE" w:rsidRDefault="00B905AE">
            <w:pPr>
              <w:spacing w:after="120" w:line="240" w:lineRule="auto"/>
              <w:rPr>
                <w:rFonts w:ascii="Arial Narrow" w:hAnsi="Arial Narrow" w:cs="Times New Roman"/>
                <w:b/>
                <w:bCs/>
                <w:sz w:val="20"/>
                <w:szCs w:val="20"/>
              </w:rPr>
            </w:pPr>
          </w:p>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Razdoblje provedbe savjetovanja </w:t>
            </w:r>
          </w:p>
          <w:p w:rsidR="00B905AE" w:rsidRDefault="00B905AE">
            <w:pPr>
              <w:spacing w:after="120" w:line="240" w:lineRule="auto"/>
              <w:rPr>
                <w:rFonts w:ascii="Arial Narrow" w:hAnsi="Arial Narrow" w:cs="Times New Roman"/>
                <w:b/>
                <w:bCs/>
                <w:sz w:val="20"/>
                <w:szCs w:val="20"/>
              </w:rPr>
            </w:pP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B905AE">
            <w:pPr>
              <w:spacing w:after="120" w:line="240" w:lineRule="auto"/>
              <w:rPr>
                <w:rFonts w:ascii="Arial Narrow" w:hAnsi="Arial Narrow" w:cs="Times New Roman"/>
                <w:bCs/>
                <w:sz w:val="20"/>
                <w:szCs w:val="20"/>
              </w:rPr>
            </w:pPr>
          </w:p>
          <w:p w:rsidR="00B905AE" w:rsidRDefault="00E13676">
            <w:pPr>
              <w:spacing w:after="120" w:line="240" w:lineRule="auto"/>
              <w:jc w:val="center"/>
            </w:pPr>
            <w:r>
              <w:rPr>
                <w:rFonts w:ascii="Arial Narrow" w:hAnsi="Arial Narrow" w:cs="Times New Roman"/>
                <w:bCs/>
                <w:sz w:val="20"/>
                <w:szCs w:val="20"/>
              </w:rPr>
              <w:t>/www.kraljevecnasutli.hr/otvorena-savjetovanja/</w:t>
            </w:r>
          </w:p>
        </w:tc>
      </w:tr>
      <w:tr w:rsidR="00B905AE">
        <w:trPr>
          <w:trHeight w:val="1007"/>
        </w:trPr>
        <w:tc>
          <w:tcPr>
            <w:tcW w:w="3942" w:type="dxa"/>
            <w:vMerge/>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B905AE">
            <w:pPr>
              <w:spacing w:after="120" w:line="240" w:lineRule="auto"/>
              <w:rPr>
                <w:rFonts w:ascii="Arial Narrow" w:hAnsi="Arial Narrow" w:cs="Times New Roman"/>
                <w:b/>
                <w:bCs/>
                <w:sz w:val="20"/>
                <w:szCs w:val="20"/>
              </w:rPr>
            </w:pPr>
          </w:p>
        </w:tc>
        <w:tc>
          <w:tcPr>
            <w:tcW w:w="5300" w:type="dxa"/>
            <w:tcBorders>
              <w:top w:val="single" w:sz="4" w:space="0" w:color="365F91"/>
              <w:left w:val="single" w:sz="4" w:space="0" w:color="365F91"/>
              <w:bottom w:val="single" w:sz="4" w:space="0" w:color="00000A"/>
              <w:right w:val="single" w:sz="4" w:space="0" w:color="365F91"/>
            </w:tcBorders>
            <w:shd w:val="clear" w:color="auto" w:fill="auto"/>
            <w:tcMar>
              <w:left w:w="103" w:type="dxa"/>
            </w:tcMar>
            <w:vAlign w:val="center"/>
          </w:tcPr>
          <w:p w:rsidR="00B905AE" w:rsidRDefault="00E13676">
            <w:pPr>
              <w:spacing w:after="120" w:line="240" w:lineRule="auto"/>
              <w:jc w:val="center"/>
              <w:rPr>
                <w:rFonts w:ascii="Arial Narrow" w:hAnsi="Arial Narrow" w:cs="Times New Roman"/>
                <w:bCs/>
                <w:sz w:val="20"/>
                <w:szCs w:val="20"/>
              </w:rPr>
            </w:pPr>
            <w:r>
              <w:rPr>
                <w:rFonts w:ascii="Arial Narrow" w:hAnsi="Arial Narrow" w:cs="Times New Roman"/>
                <w:bCs/>
                <w:sz w:val="20"/>
                <w:szCs w:val="20"/>
              </w:rPr>
              <w:t>30 dana – od 14.11.2018. do 15.12.2018.</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Pregled osnovnih pokazatelja  uključenosti savjetovanja s javnošću </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pPr>
            <w:r>
              <w:rPr>
                <w:rFonts w:ascii="Arial Narrow" w:hAnsi="Arial Narrow" w:cs="Times New Roman"/>
                <w:bCs/>
                <w:sz w:val="20"/>
                <w:szCs w:val="20"/>
              </w:rPr>
              <w:t xml:space="preserve">Nije bilo primjedbi </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Pregled prihvaćenih i neprihvaćenih mišljenja i prijedloga s obrazloženjem razloga za neprihvaćanje </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B905AE">
            <w:pPr>
              <w:spacing w:after="120" w:line="240" w:lineRule="auto"/>
              <w:rPr>
                <w:rFonts w:ascii="Arial Narrow" w:hAnsi="Arial Narrow" w:cs="Times New Roman"/>
                <w:bCs/>
                <w:sz w:val="20"/>
                <w:szCs w:val="20"/>
              </w:rPr>
            </w:pPr>
          </w:p>
          <w:p w:rsidR="00B905AE" w:rsidRDefault="00E13676">
            <w:pPr>
              <w:spacing w:after="120" w:line="240" w:lineRule="auto"/>
            </w:pPr>
            <w:r>
              <w:rPr>
                <w:rFonts w:ascii="Arial Narrow" w:hAnsi="Arial Narrow" w:cs="Times New Roman"/>
                <w:bCs/>
                <w:sz w:val="20"/>
                <w:szCs w:val="20"/>
              </w:rPr>
              <w:t>Nije bilo primjedbi.</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 xml:space="preserve">Ostali oblici savjetovanja s javnošću </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B905AE">
            <w:pPr>
              <w:spacing w:after="120" w:line="240" w:lineRule="auto"/>
              <w:rPr>
                <w:rFonts w:ascii="Arial Narrow" w:hAnsi="Arial Narrow" w:cs="Times New Roman"/>
                <w:bCs/>
                <w:sz w:val="20"/>
                <w:szCs w:val="20"/>
              </w:rPr>
            </w:pPr>
          </w:p>
          <w:p w:rsidR="00B905AE" w:rsidRDefault="00E13676">
            <w:pPr>
              <w:spacing w:after="120" w:line="240" w:lineRule="auto"/>
              <w:rPr>
                <w:rFonts w:ascii="Arial Narrow" w:hAnsi="Arial Narrow" w:cs="Times New Roman"/>
                <w:bCs/>
                <w:sz w:val="20"/>
                <w:szCs w:val="20"/>
              </w:rPr>
            </w:pPr>
            <w:r>
              <w:rPr>
                <w:rFonts w:ascii="Arial Narrow" w:hAnsi="Arial Narrow" w:cs="Times New Roman"/>
                <w:bCs/>
                <w:sz w:val="20"/>
                <w:szCs w:val="20"/>
              </w:rPr>
              <w:t>-</w:t>
            </w:r>
          </w:p>
        </w:tc>
      </w:tr>
      <w:tr w:rsidR="00B905AE">
        <w:tc>
          <w:tcPr>
            <w:tcW w:w="3942" w:type="dxa"/>
            <w:tcBorders>
              <w:top w:val="single" w:sz="4" w:space="0" w:color="365F91"/>
              <w:left w:val="single" w:sz="4" w:space="0" w:color="365F91"/>
              <w:bottom w:val="single" w:sz="4" w:space="0" w:color="365F91"/>
              <w:right w:val="single" w:sz="4" w:space="0" w:color="365F91"/>
            </w:tcBorders>
            <w:shd w:val="clear" w:color="auto" w:fill="auto"/>
            <w:tcMar>
              <w:left w:w="103" w:type="dxa"/>
            </w:tcMar>
            <w:vAlign w:val="center"/>
          </w:tcPr>
          <w:p w:rsidR="00B905AE" w:rsidRDefault="00E13676">
            <w:pPr>
              <w:spacing w:after="120" w:line="240" w:lineRule="auto"/>
              <w:rPr>
                <w:rFonts w:ascii="Arial Narrow" w:hAnsi="Arial Narrow" w:cs="Times New Roman"/>
                <w:b/>
                <w:bCs/>
                <w:sz w:val="20"/>
                <w:szCs w:val="20"/>
              </w:rPr>
            </w:pPr>
            <w:r>
              <w:rPr>
                <w:rFonts w:ascii="Arial Narrow" w:hAnsi="Arial Narrow" w:cs="Times New Roman"/>
                <w:b/>
                <w:bCs/>
                <w:sz w:val="20"/>
                <w:szCs w:val="20"/>
              </w:rPr>
              <w:t>Troškovi provedenog savjetovanja</w:t>
            </w:r>
          </w:p>
        </w:tc>
        <w:tc>
          <w:tcPr>
            <w:tcW w:w="5300" w:type="dxa"/>
            <w:tcBorders>
              <w:top w:val="single" w:sz="4" w:space="0" w:color="365F91"/>
              <w:left w:val="single" w:sz="4" w:space="0" w:color="365F91"/>
              <w:bottom w:val="single" w:sz="4" w:space="0" w:color="365F91"/>
              <w:right w:val="single" w:sz="4" w:space="0" w:color="365F91"/>
            </w:tcBorders>
            <w:shd w:val="clear" w:color="auto" w:fill="auto"/>
            <w:tcMar>
              <w:left w:w="103" w:type="dxa"/>
            </w:tcMar>
          </w:tcPr>
          <w:p w:rsidR="00B905AE" w:rsidRDefault="00E13676">
            <w:pPr>
              <w:spacing w:after="120" w:line="240" w:lineRule="auto"/>
              <w:jc w:val="both"/>
            </w:pPr>
            <w:r>
              <w:rPr>
                <w:rFonts w:ascii="Arial Narrow" w:hAnsi="Arial Narrow" w:cs="Times New Roman"/>
                <w:bCs/>
                <w:sz w:val="20"/>
                <w:szCs w:val="20"/>
              </w:rPr>
              <w:t>0,00</w:t>
            </w:r>
          </w:p>
        </w:tc>
      </w:tr>
    </w:tbl>
    <w:p w:rsidR="00B905AE" w:rsidRDefault="00B905AE">
      <w:pPr>
        <w:rPr>
          <w:rFonts w:eastAsia="Calibri" w:cs="Times New Roman"/>
          <w:b/>
          <w:bCs/>
          <w:sz w:val="20"/>
          <w:szCs w:val="20"/>
          <w:lang w:eastAsia="en-US"/>
        </w:rPr>
      </w:pPr>
    </w:p>
    <w:p w:rsidR="00B905AE" w:rsidRDefault="00E13676">
      <w:pPr>
        <w:rPr>
          <w:rFonts w:ascii="Arial Narrow" w:eastAsia="Calibri" w:hAnsi="Arial Narrow" w:cs="Times New Roman"/>
          <w:b/>
          <w:bCs/>
          <w:sz w:val="20"/>
          <w:szCs w:val="20"/>
          <w:lang w:eastAsia="en-US"/>
        </w:rPr>
      </w:pPr>
      <w:r>
        <w:rPr>
          <w:rFonts w:ascii="Arial Narrow" w:eastAsia="Calibri" w:hAnsi="Arial Narrow" w:cs="Times New Roman"/>
          <w:b/>
          <w:bCs/>
          <w:sz w:val="20"/>
          <w:szCs w:val="20"/>
          <w:lang w:eastAsia="en-US"/>
        </w:rPr>
        <w:t>Prilog 1. Pregled prihvaćenih i neprihvaćenih primjedbi</w:t>
      </w:r>
    </w:p>
    <w:tbl>
      <w:tblPr>
        <w:tblW w:w="9322" w:type="dxa"/>
        <w:tblInd w:w="-22" w:type="dxa"/>
        <w:tblBorders>
          <w:top w:val="single" w:sz="18" w:space="0" w:color="00000A"/>
          <w:left w:val="single" w:sz="18" w:space="0" w:color="00000A"/>
          <w:bottom w:val="single" w:sz="2" w:space="0" w:color="00000A"/>
          <w:right w:val="single" w:sz="2" w:space="0" w:color="00000A"/>
          <w:insideH w:val="single" w:sz="2" w:space="0" w:color="00000A"/>
          <w:insideV w:val="single" w:sz="2" w:space="0" w:color="00000A"/>
        </w:tblBorders>
        <w:tblCellMar>
          <w:left w:w="84" w:type="dxa"/>
        </w:tblCellMar>
        <w:tblLook w:val="04A0"/>
      </w:tblPr>
      <w:tblGrid>
        <w:gridCol w:w="771"/>
        <w:gridCol w:w="1887"/>
        <w:gridCol w:w="1985"/>
        <w:gridCol w:w="2046"/>
        <w:gridCol w:w="2633"/>
      </w:tblGrid>
      <w:tr w:rsidR="00B905AE">
        <w:tc>
          <w:tcPr>
            <w:tcW w:w="771" w:type="dxa"/>
            <w:tcBorders>
              <w:top w:val="single" w:sz="18" w:space="0" w:color="00000A"/>
              <w:left w:val="single" w:sz="18" w:space="0" w:color="00000A"/>
              <w:bottom w:val="single" w:sz="2" w:space="0" w:color="00000A"/>
              <w:right w:val="single" w:sz="2" w:space="0" w:color="00000A"/>
            </w:tcBorders>
            <w:shd w:val="clear" w:color="auto" w:fill="auto"/>
            <w:tcMar>
              <w:left w:w="84" w:type="dxa"/>
            </w:tcMar>
            <w:vAlign w:val="center"/>
          </w:tcPr>
          <w:p w:rsidR="00B905AE" w:rsidRDefault="00E13676">
            <w:pPr>
              <w:spacing w:after="120" w:line="240" w:lineRule="auto"/>
              <w:jc w:val="center"/>
              <w:rPr>
                <w:rFonts w:ascii="Arial Narrow" w:hAnsi="Arial Narrow" w:cs="Times New Roman"/>
                <w:b/>
                <w:sz w:val="20"/>
                <w:szCs w:val="20"/>
              </w:rPr>
            </w:pPr>
            <w:r>
              <w:rPr>
                <w:rFonts w:ascii="Arial Narrow" w:hAnsi="Arial Narrow" w:cs="Times New Roman"/>
                <w:b/>
                <w:sz w:val="20"/>
                <w:szCs w:val="20"/>
              </w:rPr>
              <w:t>Redni broj</w:t>
            </w:r>
          </w:p>
        </w:tc>
        <w:tc>
          <w:tcPr>
            <w:tcW w:w="1887" w:type="dxa"/>
            <w:tcBorders>
              <w:top w:val="single" w:sz="18" w:space="0" w:color="00000A"/>
              <w:left w:val="single" w:sz="2" w:space="0" w:color="00000A"/>
              <w:bottom w:val="single" w:sz="2" w:space="0" w:color="00000A"/>
              <w:right w:val="single" w:sz="2" w:space="0" w:color="00000A"/>
            </w:tcBorders>
            <w:shd w:val="clear" w:color="auto" w:fill="auto"/>
            <w:tcMar>
              <w:left w:w="124" w:type="dxa"/>
            </w:tcMar>
            <w:vAlign w:val="center"/>
          </w:tcPr>
          <w:p w:rsidR="00B905AE" w:rsidRDefault="00E13676">
            <w:pPr>
              <w:spacing w:after="120" w:line="240" w:lineRule="auto"/>
              <w:jc w:val="center"/>
              <w:rPr>
                <w:rFonts w:ascii="Arial Narrow" w:hAnsi="Arial Narrow" w:cs="Times New Roman"/>
                <w:b/>
                <w:sz w:val="20"/>
                <w:szCs w:val="20"/>
              </w:rPr>
            </w:pPr>
            <w:r>
              <w:rPr>
                <w:rFonts w:ascii="Arial Narrow" w:hAnsi="Arial Narrow" w:cs="Times New Roman"/>
                <w:b/>
                <w:sz w:val="20"/>
                <w:szCs w:val="20"/>
              </w:rPr>
              <w:t>Sudionik savjetovanja (ime i prezime pojedinca, naziv organizacije)</w:t>
            </w:r>
          </w:p>
        </w:tc>
        <w:tc>
          <w:tcPr>
            <w:tcW w:w="1985" w:type="dxa"/>
            <w:tcBorders>
              <w:top w:val="single" w:sz="18" w:space="0" w:color="00000A"/>
              <w:left w:val="single" w:sz="2" w:space="0" w:color="00000A"/>
              <w:bottom w:val="single" w:sz="2" w:space="0" w:color="00000A"/>
              <w:right w:val="single" w:sz="2" w:space="0" w:color="00000A"/>
            </w:tcBorders>
            <w:shd w:val="clear" w:color="auto" w:fill="auto"/>
            <w:tcMar>
              <w:left w:w="84" w:type="dxa"/>
            </w:tcMar>
            <w:vAlign w:val="center"/>
          </w:tcPr>
          <w:p w:rsidR="00B905AE" w:rsidRDefault="00E13676">
            <w:pPr>
              <w:spacing w:after="120" w:line="240" w:lineRule="auto"/>
              <w:jc w:val="center"/>
              <w:rPr>
                <w:rFonts w:ascii="Arial Narrow" w:hAnsi="Arial Narrow" w:cs="Times New Roman"/>
                <w:b/>
                <w:sz w:val="20"/>
                <w:szCs w:val="20"/>
              </w:rPr>
            </w:pPr>
            <w:r>
              <w:rPr>
                <w:rFonts w:ascii="Arial Narrow" w:hAnsi="Arial Narrow" w:cs="Times New Roman"/>
                <w:b/>
                <w:sz w:val="20"/>
                <w:szCs w:val="20"/>
              </w:rPr>
              <w:t>Članak ili drugi dio nacrta na koji se odnosi prijedlog ili mišljenje</w:t>
            </w:r>
          </w:p>
        </w:tc>
        <w:tc>
          <w:tcPr>
            <w:tcW w:w="2046" w:type="dxa"/>
            <w:tcBorders>
              <w:top w:val="single" w:sz="18" w:space="0" w:color="00000A"/>
              <w:left w:val="single" w:sz="2" w:space="0" w:color="00000A"/>
              <w:bottom w:val="single" w:sz="2" w:space="0" w:color="00000A"/>
              <w:right w:val="single" w:sz="2" w:space="0" w:color="00000A"/>
            </w:tcBorders>
            <w:shd w:val="clear" w:color="auto" w:fill="auto"/>
            <w:tcMar>
              <w:left w:w="84" w:type="dxa"/>
            </w:tcMar>
            <w:vAlign w:val="center"/>
          </w:tcPr>
          <w:p w:rsidR="00B905AE" w:rsidRDefault="00E13676">
            <w:pPr>
              <w:spacing w:after="120" w:line="240" w:lineRule="auto"/>
              <w:jc w:val="center"/>
              <w:rPr>
                <w:rFonts w:ascii="Arial Narrow" w:hAnsi="Arial Narrow" w:cs="Times New Roman"/>
                <w:b/>
                <w:sz w:val="20"/>
                <w:szCs w:val="20"/>
              </w:rPr>
            </w:pPr>
            <w:r>
              <w:rPr>
                <w:rFonts w:ascii="Arial Narrow" w:hAnsi="Arial Narrow" w:cs="Times New Roman"/>
                <w:b/>
                <w:sz w:val="20"/>
                <w:szCs w:val="20"/>
              </w:rPr>
              <w:t>Tekst zaprimljenog prijedloga ili mišljenja</w:t>
            </w:r>
          </w:p>
        </w:tc>
        <w:tc>
          <w:tcPr>
            <w:tcW w:w="2633" w:type="dxa"/>
            <w:tcBorders>
              <w:top w:val="single" w:sz="18" w:space="0" w:color="00000A"/>
              <w:left w:val="single" w:sz="2" w:space="0" w:color="00000A"/>
              <w:bottom w:val="single" w:sz="2" w:space="0" w:color="00000A"/>
              <w:right w:val="single" w:sz="18" w:space="0" w:color="00000A"/>
            </w:tcBorders>
            <w:shd w:val="clear" w:color="auto" w:fill="auto"/>
            <w:tcMar>
              <w:left w:w="84" w:type="dxa"/>
            </w:tcMar>
            <w:vAlign w:val="center"/>
          </w:tcPr>
          <w:p w:rsidR="00B905AE" w:rsidRDefault="00E13676">
            <w:pPr>
              <w:spacing w:after="120" w:line="240" w:lineRule="auto"/>
              <w:jc w:val="center"/>
              <w:rPr>
                <w:rFonts w:ascii="Arial Narrow" w:hAnsi="Arial Narrow" w:cs="Times New Roman"/>
                <w:b/>
                <w:sz w:val="20"/>
                <w:szCs w:val="20"/>
              </w:rPr>
            </w:pPr>
            <w:r>
              <w:rPr>
                <w:rFonts w:ascii="Arial Narrow" w:hAnsi="Arial Narrow" w:cs="Times New Roman"/>
                <w:b/>
                <w:sz w:val="20"/>
                <w:szCs w:val="20"/>
              </w:rPr>
              <w:t xml:space="preserve">Status prijedloga ili mišljenja (prihvaćanje/neprihvaćanje s  obrazloženjem) </w:t>
            </w:r>
          </w:p>
        </w:tc>
      </w:tr>
      <w:tr w:rsidR="00B905AE">
        <w:trPr>
          <w:trHeight w:val="567"/>
        </w:trPr>
        <w:tc>
          <w:tcPr>
            <w:tcW w:w="771" w:type="dxa"/>
            <w:tcBorders>
              <w:top w:val="single" w:sz="2" w:space="0" w:color="00000A"/>
              <w:left w:val="single" w:sz="18" w:space="0" w:color="00000A"/>
              <w:bottom w:val="single" w:sz="2" w:space="0" w:color="00000A"/>
              <w:right w:val="single" w:sz="2" w:space="0" w:color="00000A"/>
            </w:tcBorders>
            <w:shd w:val="clear" w:color="auto" w:fill="auto"/>
            <w:tcMar>
              <w:left w:w="84" w:type="dxa"/>
            </w:tcMar>
          </w:tcPr>
          <w:p w:rsidR="00B905AE" w:rsidRDefault="00E13676">
            <w:pPr>
              <w:spacing w:after="120" w:line="240" w:lineRule="auto"/>
              <w:jc w:val="both"/>
              <w:rPr>
                <w:rFonts w:ascii="Arial Narrow" w:hAnsi="Arial Narrow" w:cs="Times New Roman"/>
                <w:sz w:val="20"/>
                <w:szCs w:val="20"/>
              </w:rPr>
            </w:pPr>
            <w:r>
              <w:rPr>
                <w:rFonts w:ascii="Arial Narrow" w:hAnsi="Arial Narrow" w:cs="Times New Roman"/>
                <w:sz w:val="20"/>
                <w:szCs w:val="20"/>
              </w:rPr>
              <w:t>/</w:t>
            </w:r>
          </w:p>
        </w:tc>
        <w:tc>
          <w:tcPr>
            <w:tcW w:w="1887" w:type="dxa"/>
            <w:tcBorders>
              <w:top w:val="single" w:sz="2" w:space="0" w:color="00000A"/>
              <w:left w:val="single" w:sz="2" w:space="0" w:color="00000A"/>
              <w:bottom w:val="single" w:sz="2" w:space="0" w:color="00000A"/>
              <w:right w:val="single" w:sz="2" w:space="0" w:color="00000A"/>
            </w:tcBorders>
            <w:shd w:val="clear" w:color="auto" w:fill="auto"/>
            <w:tcMar>
              <w:left w:w="124" w:type="dxa"/>
            </w:tcMar>
          </w:tcPr>
          <w:p w:rsidR="00B905AE" w:rsidRDefault="00E13676">
            <w:pPr>
              <w:spacing w:after="120" w:line="240" w:lineRule="auto"/>
              <w:jc w:val="both"/>
              <w:rPr>
                <w:rFonts w:ascii="Arial Narrow" w:hAnsi="Arial Narrow" w:cs="Times New Roman"/>
                <w:sz w:val="20"/>
                <w:szCs w:val="20"/>
              </w:rPr>
            </w:pPr>
            <w:r>
              <w:rPr>
                <w:rFonts w:ascii="Arial Narrow" w:hAnsi="Arial Narrow" w:cs="Times New Roman"/>
                <w:sz w:val="20"/>
                <w:szCs w:val="20"/>
              </w:rPr>
              <w:t>/</w:t>
            </w:r>
          </w:p>
        </w:tc>
        <w:tc>
          <w:tcPr>
            <w:tcW w:w="1985" w:type="dxa"/>
            <w:tcBorders>
              <w:top w:val="single" w:sz="2" w:space="0" w:color="00000A"/>
              <w:left w:val="single" w:sz="2" w:space="0" w:color="00000A"/>
              <w:bottom w:val="single" w:sz="2" w:space="0" w:color="00000A"/>
              <w:right w:val="single" w:sz="2" w:space="0" w:color="00000A"/>
            </w:tcBorders>
            <w:shd w:val="clear" w:color="auto" w:fill="auto"/>
            <w:tcMar>
              <w:left w:w="84" w:type="dxa"/>
            </w:tcMar>
          </w:tcPr>
          <w:p w:rsidR="00B905AE" w:rsidRDefault="00E13676">
            <w:pPr>
              <w:spacing w:after="120" w:line="240" w:lineRule="auto"/>
              <w:jc w:val="both"/>
              <w:rPr>
                <w:rFonts w:ascii="Arial Narrow" w:hAnsi="Arial Narrow" w:cs="Times New Roman"/>
                <w:sz w:val="20"/>
                <w:szCs w:val="20"/>
              </w:rPr>
            </w:pPr>
            <w:r>
              <w:rPr>
                <w:rFonts w:ascii="Arial Narrow" w:hAnsi="Arial Narrow" w:cs="Times New Roman"/>
                <w:sz w:val="20"/>
                <w:szCs w:val="20"/>
              </w:rPr>
              <w:t>/</w:t>
            </w:r>
          </w:p>
        </w:tc>
        <w:tc>
          <w:tcPr>
            <w:tcW w:w="2046" w:type="dxa"/>
            <w:tcBorders>
              <w:top w:val="single" w:sz="2" w:space="0" w:color="00000A"/>
              <w:left w:val="single" w:sz="2" w:space="0" w:color="00000A"/>
              <w:bottom w:val="single" w:sz="2" w:space="0" w:color="00000A"/>
              <w:right w:val="single" w:sz="2" w:space="0" w:color="00000A"/>
            </w:tcBorders>
            <w:shd w:val="clear" w:color="auto" w:fill="auto"/>
            <w:tcMar>
              <w:left w:w="84" w:type="dxa"/>
            </w:tcMar>
          </w:tcPr>
          <w:p w:rsidR="00B905AE" w:rsidRDefault="00E13676">
            <w:pPr>
              <w:spacing w:after="120" w:line="240" w:lineRule="auto"/>
              <w:jc w:val="both"/>
              <w:rPr>
                <w:rFonts w:ascii="Arial Narrow" w:hAnsi="Arial Narrow" w:cs="Times New Roman"/>
                <w:sz w:val="20"/>
                <w:szCs w:val="20"/>
              </w:rPr>
            </w:pPr>
            <w:r>
              <w:rPr>
                <w:rFonts w:ascii="Arial Narrow" w:hAnsi="Arial Narrow" w:cs="Times New Roman"/>
                <w:sz w:val="20"/>
                <w:szCs w:val="20"/>
              </w:rPr>
              <w:t>/</w:t>
            </w:r>
          </w:p>
        </w:tc>
        <w:tc>
          <w:tcPr>
            <w:tcW w:w="2633" w:type="dxa"/>
            <w:tcBorders>
              <w:top w:val="single" w:sz="2" w:space="0" w:color="00000A"/>
              <w:left w:val="single" w:sz="2" w:space="0" w:color="00000A"/>
              <w:bottom w:val="single" w:sz="2" w:space="0" w:color="00000A"/>
              <w:right w:val="single" w:sz="18" w:space="0" w:color="00000A"/>
            </w:tcBorders>
            <w:shd w:val="clear" w:color="auto" w:fill="auto"/>
            <w:tcMar>
              <w:left w:w="84" w:type="dxa"/>
            </w:tcMar>
          </w:tcPr>
          <w:p w:rsidR="00B905AE" w:rsidRDefault="00E13676">
            <w:pPr>
              <w:spacing w:after="120" w:line="240" w:lineRule="auto"/>
              <w:jc w:val="both"/>
              <w:rPr>
                <w:rFonts w:ascii="Arial Narrow" w:hAnsi="Arial Narrow" w:cs="Times New Roman"/>
                <w:sz w:val="20"/>
                <w:szCs w:val="20"/>
              </w:rPr>
            </w:pPr>
            <w:r>
              <w:rPr>
                <w:rFonts w:ascii="Arial Narrow" w:hAnsi="Arial Narrow" w:cs="Times New Roman"/>
                <w:sz w:val="20"/>
                <w:szCs w:val="20"/>
              </w:rPr>
              <w:t>/</w:t>
            </w:r>
          </w:p>
        </w:tc>
      </w:tr>
    </w:tbl>
    <w:p w:rsidR="00B905AE" w:rsidRDefault="00B905AE"/>
    <w:sectPr w:rsidR="00B905AE" w:rsidSect="00B905AE">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05AE"/>
    <w:rsid w:val="002533F8"/>
    <w:rsid w:val="00415600"/>
    <w:rsid w:val="00453356"/>
    <w:rsid w:val="00550781"/>
    <w:rsid w:val="00771D67"/>
    <w:rsid w:val="00972B48"/>
    <w:rsid w:val="00973AE4"/>
    <w:rsid w:val="009A684F"/>
    <w:rsid w:val="00A13899"/>
    <w:rsid w:val="00B905AE"/>
    <w:rsid w:val="00BA2B0B"/>
    <w:rsid w:val="00E136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Cs w:val="22"/>
        <w:lang w:val="hr-HR"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pPr>
      <w:spacing w:after="200"/>
    </w:pPr>
    <w:rPr>
      <w:rFonts w:ascii="Calibri" w:eastAsiaTheme="minorEastAsia" w:hAnsi="Calibri"/>
      <w:color w:val="00000A"/>
      <w:sz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rsid w:val="00B905AE"/>
  </w:style>
  <w:style w:type="paragraph" w:customStyle="1" w:styleId="Stilnaslova2">
    <w:name w:val="Stil naslova 2"/>
    <w:basedOn w:val="Stilnaslova"/>
    <w:rsid w:val="00B905AE"/>
  </w:style>
  <w:style w:type="paragraph" w:customStyle="1" w:styleId="Stilnaslova3">
    <w:name w:val="Stil naslova 3"/>
    <w:basedOn w:val="Stilnaslova"/>
    <w:rsid w:val="00B905AE"/>
  </w:style>
  <w:style w:type="paragraph" w:customStyle="1" w:styleId="Stilnaslova">
    <w:name w:val="Stil naslova"/>
    <w:basedOn w:val="Normal"/>
    <w:next w:val="Tijeloteksta1"/>
    <w:qFormat/>
    <w:rsid w:val="00B905AE"/>
    <w:pPr>
      <w:keepNext/>
      <w:spacing w:before="240" w:after="120"/>
    </w:pPr>
    <w:rPr>
      <w:rFonts w:ascii="Liberation Sans" w:eastAsia="Microsoft YaHei" w:hAnsi="Liberation Sans" w:cs="Arial"/>
      <w:sz w:val="28"/>
      <w:szCs w:val="28"/>
    </w:rPr>
  </w:style>
  <w:style w:type="paragraph" w:customStyle="1" w:styleId="Tijeloteksta1">
    <w:name w:val="Tijelo teksta1"/>
    <w:basedOn w:val="Normal"/>
    <w:rsid w:val="00B905AE"/>
    <w:pPr>
      <w:spacing w:after="140" w:line="288" w:lineRule="auto"/>
    </w:pPr>
  </w:style>
  <w:style w:type="paragraph" w:customStyle="1" w:styleId="Popis1">
    <w:name w:val="Popis1"/>
    <w:basedOn w:val="Tijeloteksta1"/>
    <w:rsid w:val="00B905AE"/>
    <w:rPr>
      <w:rFonts w:cs="Arial"/>
    </w:rPr>
  </w:style>
  <w:style w:type="paragraph" w:customStyle="1" w:styleId="Opiselementa">
    <w:name w:val="Opis elementa"/>
    <w:basedOn w:val="Normal"/>
    <w:rsid w:val="00B905AE"/>
    <w:pPr>
      <w:suppressLineNumbers/>
      <w:spacing w:before="120" w:after="120"/>
    </w:pPr>
    <w:rPr>
      <w:rFonts w:cs="Arial"/>
      <w:i/>
      <w:iCs/>
      <w:sz w:val="24"/>
      <w:szCs w:val="24"/>
    </w:rPr>
  </w:style>
  <w:style w:type="paragraph" w:customStyle="1" w:styleId="Indeks">
    <w:name w:val="Indeks"/>
    <w:basedOn w:val="Normal"/>
    <w:qFormat/>
    <w:rsid w:val="00B905AE"/>
    <w:pPr>
      <w:suppressLineNumbers/>
    </w:pPr>
    <w:rPr>
      <w:rFonts w:cs="Arial"/>
    </w:rPr>
  </w:style>
  <w:style w:type="paragraph" w:styleId="Opisslike">
    <w:name w:val="caption"/>
    <w:basedOn w:val="Normal"/>
    <w:next w:val="Normal"/>
    <w:uiPriority w:val="35"/>
    <w:qFormat/>
    <w:rsid w:val="005B0986"/>
    <w:rPr>
      <w:rFonts w:eastAsia="Calibri" w:cs="Times New Roman"/>
      <w:b/>
      <w:bCs/>
      <w:sz w:val="20"/>
      <w:szCs w:val="20"/>
      <w:lang w:eastAsia="en-US"/>
    </w:rPr>
  </w:style>
  <w:style w:type="paragraph" w:customStyle="1" w:styleId="Citati">
    <w:name w:val="Citati"/>
    <w:basedOn w:val="Normal"/>
    <w:qFormat/>
    <w:rsid w:val="00B905AE"/>
  </w:style>
  <w:style w:type="paragraph" w:customStyle="1" w:styleId="Naslov1">
    <w:name w:val="Naslov1"/>
    <w:basedOn w:val="Stilnaslova"/>
    <w:rsid w:val="00B905AE"/>
  </w:style>
  <w:style w:type="paragraph" w:customStyle="1" w:styleId="Podnaslov1">
    <w:name w:val="Podnaslov1"/>
    <w:basedOn w:val="Stilnaslova"/>
    <w:rsid w:val="00B905AE"/>
  </w:style>
  <w:style w:type="paragraph" w:styleId="StandardWeb">
    <w:name w:val="Normal (Web)"/>
    <w:basedOn w:val="Normal"/>
    <w:uiPriority w:val="99"/>
    <w:semiHidden/>
    <w:unhideWhenUsed/>
    <w:rsid w:val="00BA2B0B"/>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s>
</file>

<file path=word/webSettings.xml><?xml version="1.0" encoding="utf-8"?>
<w:webSettings xmlns:r="http://schemas.openxmlformats.org/officeDocument/2006/relationships" xmlns:w="http://schemas.openxmlformats.org/wordprocessingml/2006/main">
  <w:divs>
    <w:div w:id="2001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324</Words>
  <Characters>1850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cp:lastModifiedBy>
  <cp:revision>5</cp:revision>
  <dcterms:created xsi:type="dcterms:W3CDTF">2019-01-07T11:48:00Z</dcterms:created>
  <dcterms:modified xsi:type="dcterms:W3CDTF">2019-01-08T11:30:00Z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